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183AA" w14:textId="77777777" w:rsidR="00881BB4" w:rsidRPr="00F50C4F" w:rsidRDefault="00881BB4" w:rsidP="00881BB4">
      <w:pPr>
        <w:ind w:firstLine="432"/>
        <w:jc w:val="center"/>
        <w:rPr>
          <w:rFonts w:eastAsia="Aptos" w:cs="Times New Roman"/>
          <w:b/>
          <w:iCs/>
          <w:kern w:val="0"/>
          <w:sz w:val="22"/>
          <w:szCs w:val="22"/>
          <w:lang w:val="hy-AM"/>
        </w:rPr>
      </w:pPr>
      <w:r w:rsidRPr="00F50C4F">
        <w:rPr>
          <w:rFonts w:eastAsia="Aptos" w:cs="Times New Roman"/>
          <w:b/>
          <w:iCs/>
          <w:kern w:val="0"/>
          <w:sz w:val="22"/>
          <w:szCs w:val="22"/>
          <w:lang w:val="hy-AM"/>
        </w:rPr>
        <w:t>ՏԵՂԵԿԱՆՔ</w:t>
      </w:r>
    </w:p>
    <w:p w14:paraId="7D66F1E0" w14:textId="0EA1D12B" w:rsidR="00BC5E9D" w:rsidRPr="00F50C4F" w:rsidRDefault="00032C8E" w:rsidP="00881BB4">
      <w:pPr>
        <w:ind w:firstLine="0"/>
        <w:jc w:val="center"/>
        <w:rPr>
          <w:b/>
          <w:bCs/>
          <w:sz w:val="22"/>
          <w:szCs w:val="22"/>
          <w:lang w:val="hy-AM"/>
        </w:rPr>
      </w:pPr>
      <w:r w:rsidRPr="00F50C4F">
        <w:rPr>
          <w:b/>
          <w:bCs/>
          <w:sz w:val="22"/>
          <w:szCs w:val="22"/>
          <w:lang w:val="hy-AM"/>
        </w:rPr>
        <w:t xml:space="preserve"> </w:t>
      </w:r>
      <w:r w:rsidR="00881BB4" w:rsidRPr="00F50C4F">
        <w:rPr>
          <w:b/>
          <w:bCs/>
          <w:sz w:val="22"/>
          <w:szCs w:val="22"/>
          <w:lang w:val="hy-AM"/>
        </w:rPr>
        <w:t xml:space="preserve">«ԳՈՐԾՈՒՆԵՈՒԹՅԱՆ </w:t>
      </w:r>
      <w:r w:rsidR="00F50C4F" w:rsidRPr="00F50C4F">
        <w:rPr>
          <w:b/>
          <w:bCs/>
          <w:sz w:val="22"/>
          <w:szCs w:val="22"/>
          <w:lang w:val="hy-AM"/>
        </w:rPr>
        <w:t xml:space="preserve">ԻՐԱԿԱՆԱՑՄԱՆ ՑԱՆՈՒՑՄԱՆ </w:t>
      </w:r>
      <w:r w:rsidR="00881BB4" w:rsidRPr="00F50C4F">
        <w:rPr>
          <w:b/>
          <w:bCs/>
          <w:sz w:val="22"/>
          <w:szCs w:val="22"/>
          <w:lang w:val="hy-AM"/>
        </w:rPr>
        <w:t>ՄԱՍԻՆ» ՕՐԵՆՔ</w:t>
      </w:r>
    </w:p>
    <w:p w14:paraId="597F0B75" w14:textId="79E77D70" w:rsidR="00BC5E9D" w:rsidRPr="00F50C4F" w:rsidRDefault="00BC5E9D" w:rsidP="00BC5E9D">
      <w:pPr>
        <w:ind w:firstLine="0"/>
        <w:jc w:val="center"/>
        <w:rPr>
          <w:b/>
          <w:sz w:val="22"/>
          <w:szCs w:val="22"/>
          <w:lang w:val="hy-AM"/>
        </w:rPr>
      </w:pPr>
    </w:p>
    <w:p w14:paraId="0B7BD171" w14:textId="77777777" w:rsidR="00F50C4F" w:rsidRPr="00F50C4F" w:rsidRDefault="00881BB4" w:rsidP="00881BB4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:sz w:val="22"/>
          <w:szCs w:val="22"/>
          <w14:ligatures w14:val="none"/>
        </w:rPr>
      </w:pPr>
      <w:r w:rsidRPr="00F50C4F">
        <w:rPr>
          <w:rFonts w:ascii="Calibri" w:eastAsia="Times New Roman" w:hAnsi="Calibri" w:cs="Calibri"/>
          <w:color w:val="333333"/>
          <w:kern w:val="0"/>
          <w:sz w:val="22"/>
          <w:szCs w:val="22"/>
          <w14:ligatures w14:val="none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27"/>
      </w:tblGrid>
      <w:tr w:rsidR="00F50C4F" w:rsidRPr="00F50C4F" w14:paraId="1E82E8DF" w14:textId="77777777" w:rsidTr="00F50C4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81E8F8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Հոդված 22.</w:t>
            </w:r>
          </w:p>
        </w:tc>
        <w:tc>
          <w:tcPr>
            <w:tcW w:w="0" w:type="auto"/>
            <w:shd w:val="clear" w:color="auto" w:fill="FFFFFF"/>
            <w:hideMark/>
          </w:tcPr>
          <w:p w14:paraId="3774FFB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Ծանուցման ենթակա գործունեության տեսակների ցանկը</w:t>
            </w:r>
          </w:p>
        </w:tc>
      </w:tr>
    </w:tbl>
    <w:p w14:paraId="1F2C813D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ascii="Calibri" w:eastAsia="Times New Roman" w:hAnsi="Calibri" w:cs="Calibri"/>
          <w:color w:val="333333"/>
          <w:kern w:val="0"/>
          <w:sz w:val="22"/>
          <w:szCs w:val="22"/>
          <w14:ligatures w14:val="none"/>
        </w:rPr>
        <w:t> </w:t>
      </w:r>
    </w:p>
    <w:p w14:paraId="0966CCEB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1. Գործունեությունը համարվում է ծանուցման ենթակա, եթե այն ընդգրկված է սույն հոդվածի աղյուսակում:</w:t>
      </w:r>
    </w:p>
    <w:p w14:paraId="47CFF8FC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2. Ծանուցման ենթակա գործունեության տեսակների աղյուսակը՝</w:t>
      </w:r>
    </w:p>
    <w:p w14:paraId="108FBC6F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ascii="Calibri" w:eastAsia="Times New Roman" w:hAnsi="Calibri" w:cs="Calibri"/>
          <w:color w:val="333333"/>
          <w:kern w:val="0"/>
          <w:sz w:val="22"/>
          <w:szCs w:val="22"/>
          <w14:ligatures w14:val="none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4566"/>
        <w:gridCol w:w="1546"/>
        <w:gridCol w:w="1068"/>
        <w:gridCol w:w="1771"/>
      </w:tblGrid>
      <w:tr w:rsidR="00F50C4F" w:rsidRPr="00F50C4F" w14:paraId="62960DA2" w14:textId="77777777" w:rsidTr="00143ABD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3C9C7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Հ/հ</w:t>
            </w:r>
          </w:p>
        </w:tc>
        <w:tc>
          <w:tcPr>
            <w:tcW w:w="4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4BF05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Ծանուցման ենթակա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br/>
              <w:t>գործունեության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br/>
              <w:t>տեսակը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4F91AB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Ծանուցում ներկայաց-րած անձանց հաշվառող մարմինը</w:t>
            </w:r>
          </w:p>
        </w:tc>
        <w:tc>
          <w:tcPr>
            <w:tcW w:w="1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942E1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Ոլորտ</w:t>
            </w:r>
          </w:p>
        </w:tc>
        <w:tc>
          <w:tcPr>
            <w:tcW w:w="17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B890C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Վայրի պահանջ</w:t>
            </w:r>
          </w:p>
        </w:tc>
      </w:tr>
      <w:tr w:rsidR="00F50C4F" w:rsidRPr="00F50C4F" w14:paraId="38161BEE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95F1AB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0650396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4782DC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7404F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5EE754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F50C4F" w:rsidRPr="00F50C4F" w14:paraId="1E9E440C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3A4BF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80CF5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1. ԱՆՎՏԱՆԳՈՒԹՅԱՆ ԲՆԱԳԱՎԱՌ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br/>
            </w:r>
            <w:r w:rsidRPr="00F50C4F">
              <w:rPr>
                <w:rFonts w:eastAsia="Times New Roman" w:cs="Calibri"/>
                <w:b/>
                <w:bCs/>
                <w:i/>
                <w:iCs/>
                <w:color w:val="333333"/>
                <w:kern w:val="0"/>
                <w:sz w:val="22"/>
                <w:szCs w:val="22"/>
                <w14:ligatures w14:val="none"/>
              </w:rPr>
              <w:t>(բաժինն ուժը կորցրել է 13.07.23 ՀՕ-257-Ն)</w:t>
            </w:r>
          </w:p>
        </w:tc>
      </w:tr>
      <w:tr w:rsidR="00F50C4F" w:rsidRPr="00F50C4F" w14:paraId="63B80275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A5503C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03D966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2.</w:t>
            </w:r>
            <w:r w:rsidRPr="00F50C4F">
              <w:rPr>
                <w:rFonts w:ascii="Calibri" w:eastAsia="Times New Roman" w:hAnsi="Calibri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ԳՅՈՒՂԱՏՆՏԵՍՈՒԹՅԱՆ ԲՆԱԳԱՎԱՌ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br/>
            </w:r>
            <w:r w:rsidRPr="00F50C4F">
              <w:rPr>
                <w:rFonts w:eastAsia="Times New Roman" w:cs="Calibri"/>
                <w:b/>
                <w:bCs/>
                <w:i/>
                <w:iCs/>
                <w:color w:val="333333"/>
                <w:kern w:val="0"/>
                <w:sz w:val="22"/>
                <w:szCs w:val="22"/>
                <w14:ligatures w14:val="none"/>
              </w:rPr>
              <w:t>(բաժինն ուժը կորցրել է 03.05.23 ՀՕ-163-Ն)</w:t>
            </w:r>
          </w:p>
        </w:tc>
      </w:tr>
      <w:tr w:rsidR="00F50C4F" w:rsidRPr="00F50C4F" w14:paraId="729B2362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432BA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ED934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2</w:t>
            </w:r>
            <w:r w:rsidRPr="00F50C4F">
              <w:rPr>
                <w:rFonts w:ascii="Cambria Math" w:eastAsia="Times New Roman" w:hAnsi="Cambria Math" w:cs="Cambria Math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․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1</w:t>
            </w:r>
            <w:r w:rsidRPr="00F50C4F">
              <w:rPr>
                <w:rFonts w:ascii="Cambria Math" w:eastAsia="Times New Roman" w:hAnsi="Cambria Math" w:cs="Cambria Math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․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ԳՅՈՒՂԱՏՆՏԵՍՈՒԹՅԱՆ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3727A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F972B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B179D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50C4F" w:rsidRPr="00F50C4F" w14:paraId="77E39828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A96C5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AE750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Պեստիցիդների և ագրոքիմիկատների արտադրություն և վաճառք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9CBD66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ECC68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588B06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F50C4F" w:rsidRPr="00F50C4F" w14:paraId="79F2C3CF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5140B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52BEAC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3. ԷԼԵԿՏՐՈՆԱՅԻՆ ՀԱՂՈՐԴԱԿՑՈՒԹՅԱՆ 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DA560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22B81D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FDF02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50C4F" w:rsidRPr="00F50C4F" w14:paraId="25BFCDA9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4ECC8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708C89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Հանրային էլեկտրոնային հաղորդակցության ծառայություններ, բացառությամբ այն ծառայությունների, որոնց մատուցման համար անհրաժեշտ է տիրապետել և շահագործել էլեկտրոնային հաղորդակցության ցանց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03D3DF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ՀԾԿՀ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8E3E076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26EF8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12039742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41880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:lang w:val="hy-AM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:lang w:val="hy-AM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F0CB196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:lang w:val="hy-AM"/>
                <w14:ligatures w14:val="none"/>
              </w:rPr>
              <w:t> 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3.1. ՇՐՋԱԿԱ ՄԻՋԱՎԱՅՐԻ ՊԱՀՊԱՆՈՒԹՅԱՆ 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505AC0C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5A6190F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1C1FF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50C4F" w:rsidRPr="00F50C4F" w14:paraId="4CD6CB2A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CE85DC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F21C5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Ստորերկրյա քաղցրահամ ջրերի օգտագործման նպատակով հորատման գործունեություն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352FA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5713C6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4264FF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_</w:t>
            </w:r>
          </w:p>
        </w:tc>
      </w:tr>
      <w:tr w:rsidR="00F50C4F" w:rsidRPr="00F50C4F" w14:paraId="6F7ABF49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3CDD9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50D500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Ջրօգտագործման թույլտվությունների տրամադրման համար պահանջվող ջրօգտագործման և ջրահեռացման, ինչպես նաև թույլատրելի սահմանային արտահոսքի նորմաների հաշվարկման գործունեություն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C31D0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A3CF67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C7650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F50C4F" w:rsidRPr="00F50C4F" w14:paraId="2F4B621A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09514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7ED64C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4.</w:t>
            </w:r>
            <w:r w:rsidRPr="00F50C4F">
              <w:rPr>
                <w:rFonts w:ascii="Calibri" w:eastAsia="Times New Roman" w:hAnsi="Calibri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ԳՈՐԾՈՒՆԵՈՒԹՅԱՆ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ԱՅԼ</w:t>
            </w: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ԲՆԱԳԱՎԱՌՆԵՐ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EFF77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BF5E34D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1DF4F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50C4F" w:rsidRPr="00F50C4F" w14:paraId="513014A7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FF460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2E6F6E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«Արտաքին տնտեսական գործունեության ապրանքային 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lastRenderedPageBreak/>
              <w:t>անվանացանկ» (ԱՏԳ ԱԱ) դասակարգչի 2207 ծածկագրին դասվող էթիլային սպիրտի և 2208 ծածկագրին (բացառությամբ սույն աղյուսակի 1.1-ին, 1.2-րդ, 1.3-րդ, 1.4-րդ, 3-րդ, 3.1-ին կետերում նշված գործունեության տեսակների և մինչև 22 տոկոս սպիրտ պարունակող այլ սպիրտային խմիչքների արտադրության) դասվող ապրանքների արտադրություն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75B69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lastRenderedPageBreak/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7EA7A5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9648ADC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2874CA19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9538BD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AE7DFB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«Արտաքին տնտեսական գործունեության ապրանքային անվանացանկ» (ԱՏԳ ԱԱ) դասակարգչի 220820 ծածկագրին դասվող կոնյակի և բրենդիի արտադրություն և ԱՏԳ ԱԱ դասակարգչի 220820890 ծածկագրին դասվող կոնյակի և բրենդիի սպիրտների արտադրություն և մինչև 100 հազար լիտր (100-տոկոսանոց սպիրտի հաշվարկով) իրացում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23DF6D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33F18E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AA9076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 (միայն արտադրության մասով)</w:t>
            </w:r>
          </w:p>
        </w:tc>
      </w:tr>
      <w:tr w:rsidR="00F50C4F" w:rsidRPr="00F50C4F" w14:paraId="2089E3CE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79E2A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F8AB5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«Արտաքին տնտեսական գործունեության ապրանքային անվանացանկ» (ԱՏԳ ԱԱ) դասակարգչի 220820890 ծածկագրին դասվող կոնյակի և բրենդիի սպիրտներ արտադրողների կողմից 100 հազար լիտրը (100-տոկոսանոց սպիրտի հաշվարկով) իրացվելուց հետո այլ խմբաքանակների իրացում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D0C79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86008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CE89D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   </w:t>
            </w:r>
          </w:p>
        </w:tc>
      </w:tr>
      <w:tr w:rsidR="00F50C4F" w:rsidRPr="00F50C4F" w14:paraId="05B8F0AB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F5173F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89BBAE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«Արտաքին տնտեսական գործունեության ապրանքային անվանացանկ» (ԱՏԳ ԱԱ) դասակարգչի 220820 ծածկագրին դասվող կոնյակի, բրենդիի, կոնյակի և բրենդիի սպիրտների արտադրություն՝ առանց իրացման իրավունքի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3F1DC5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9F2FE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FC93A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489CB0ED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F58DC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4D44A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«Արտաքին տնտեսական գործունեության ապրանքային անվանացանկ» (ԱՏԳ ԱԱ) դասակարգչի 220830 ծածկագրին դասվող վիսկիների, 220840 ծածկագրին դասվող ռոմի, 220850 ծածկագրին դասվող ջինի, ինչպես նաև սպիրտային այլ թուրմերի (անիսոն, ապերատիվ, բալզամ, ռաքիա և այլն) և 22 տոկոսից ավելի սպիրտ պարունակող այլ սպիրտային խմիչքների (բացառությամբ խաղողի, պտղահատապտղային և մեղրի հումքից բացի այլ հումքով օղիների) արտադրություն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C50162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6DF12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C9B7CB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4A06B427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3C473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840D8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i/>
                <w:iCs/>
                <w:color w:val="333333"/>
                <w:kern w:val="0"/>
                <w:sz w:val="22"/>
                <w:szCs w:val="22"/>
                <w14:ligatures w14:val="none"/>
              </w:rPr>
              <w:t>(կետն ուժը կորցրել է 03.05.23 ՀՕ-163-Ն)</w:t>
            </w:r>
          </w:p>
        </w:tc>
      </w:tr>
      <w:tr w:rsidR="00F50C4F" w:rsidRPr="00F50C4F" w14:paraId="0ECDCEC3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3A0F0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lastRenderedPageBreak/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5FC86E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«Արտաքին տնտեսական գործունեության ապրանքային անվանացանկ» (ԱՏԳ ԱԱ) դասակարգչի 2208 ծածկագրին դասվող` միայն մեղրից,</w:t>
            </w: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պտուղներից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և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հատապտուղներից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(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բացառությամբ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խաղողի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)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թորված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40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տոկոս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և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ավելի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սպիրտ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պարունակող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ալկոհոլային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խմիչքների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արտադրություն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998D6B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70F6A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B340E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AE17FA" w:rsidRPr="00AE17FA" w14:paraId="04ABA65C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12586FE" w14:textId="226B2591" w:rsidR="00AE17FA" w:rsidRPr="00AE17FA" w:rsidRDefault="00AE17FA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:lang w:val="hy-AM"/>
                <w14:ligatures w14:val="none"/>
              </w:rPr>
            </w:pPr>
            <w:r w:rsidRPr="00AE17FA">
              <w:rPr>
                <w:rFonts w:eastAsia="Times New Roman" w:cs="Calibri"/>
                <w:color w:val="FF0000"/>
                <w:kern w:val="0"/>
                <w:sz w:val="22"/>
                <w:szCs w:val="22"/>
                <w:lang w:val="hy-AM"/>
                <w14:ligatures w14:val="none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B88083" w14:textId="5130EC1F" w:rsidR="00AE17FA" w:rsidRPr="00AE17FA" w:rsidRDefault="00AE17FA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:lang w:val="hy-AM"/>
                <w14:ligatures w14:val="none"/>
              </w:rPr>
            </w:pPr>
            <w:r w:rsidRPr="00AE17FA">
              <w:rPr>
                <w:rFonts w:eastAsia="Times New Roman" w:cs="Calibri"/>
                <w:color w:val="FF0000"/>
                <w:kern w:val="0"/>
                <w:sz w:val="22"/>
                <w:szCs w:val="22"/>
                <w:lang w:val="hy-AM"/>
                <w14:ligatures w14:val="none"/>
              </w:rPr>
              <w:t>Բջջային հեռախոսների ներմուծում և վաճառք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26EAF3" w14:textId="20A96A22" w:rsidR="00AE17FA" w:rsidRPr="0097276A" w:rsidRDefault="00AE17FA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FF0000"/>
                <w:kern w:val="0"/>
                <w:sz w:val="22"/>
                <w:szCs w:val="22"/>
                <w:lang w:val="hy-AM"/>
                <w14:ligatures w14:val="none"/>
              </w:rPr>
            </w:pPr>
            <w:r w:rsidRPr="0097276A">
              <w:rPr>
                <w:rFonts w:eastAsia="Times New Roman" w:cs="Calibri"/>
                <w:color w:val="FF0000"/>
                <w:kern w:val="0"/>
                <w:sz w:val="22"/>
                <w:szCs w:val="22"/>
                <w:lang w:val="hy-AM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C102497" w14:textId="1E596A27" w:rsidR="00AE17FA" w:rsidRPr="0097276A" w:rsidRDefault="00AE17FA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FF0000"/>
                <w:kern w:val="0"/>
                <w:sz w:val="22"/>
                <w:szCs w:val="22"/>
                <w:lang w:val="hy-AM"/>
                <w14:ligatures w14:val="none"/>
              </w:rPr>
            </w:pPr>
            <w:r w:rsidRPr="0097276A">
              <w:rPr>
                <w:rFonts w:eastAsia="Times New Roman" w:cs="Calibri"/>
                <w:color w:val="FF0000"/>
                <w:kern w:val="0"/>
                <w:sz w:val="22"/>
                <w:szCs w:val="22"/>
                <w:lang w:val="hy-AM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586872" w14:textId="674A1ECD" w:rsidR="00AE17FA" w:rsidRPr="0097276A" w:rsidRDefault="00AE17FA" w:rsidP="00AE17FA">
            <w:pPr>
              <w:shd w:val="clear" w:color="auto" w:fill="FFFFFF"/>
              <w:spacing w:after="0" w:line="240" w:lineRule="auto"/>
              <w:ind w:firstLine="375"/>
              <w:jc w:val="center"/>
              <w:rPr>
                <w:rFonts w:eastAsia="Times New Roman" w:cs="Calibri"/>
                <w:color w:val="FF0000"/>
                <w:kern w:val="0"/>
                <w:sz w:val="22"/>
                <w:szCs w:val="22"/>
                <w:lang w:val="hy-AM"/>
                <w14:ligatures w14:val="none"/>
              </w:rPr>
            </w:pPr>
            <w:r w:rsidRPr="0097276A">
              <w:rPr>
                <w:rFonts w:eastAsia="Times New Roman" w:cs="Calibri"/>
                <w:color w:val="FF0000"/>
                <w:kern w:val="0"/>
                <w:sz w:val="22"/>
                <w:szCs w:val="22"/>
                <w:lang w:val="hy-AM"/>
                <w14:ligatures w14:val="none"/>
              </w:rPr>
              <w:t>-</w:t>
            </w:r>
          </w:p>
        </w:tc>
      </w:tr>
      <w:tr w:rsidR="00F50C4F" w:rsidRPr="00F50C4F" w14:paraId="5B2A73A6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81D77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330AA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Խաղողի օղիների և խաղողի օղու թորվածքների արտադրություն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2B90A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758A86F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F42A7C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461757AA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A38DA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4.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7E448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i/>
                <w:iCs/>
                <w:color w:val="333333"/>
                <w:kern w:val="0"/>
                <w:sz w:val="22"/>
                <w:szCs w:val="22"/>
                <w14:ligatures w14:val="none"/>
              </w:rPr>
              <w:t>(կետն ուժը կորցրել է 03.05.23 ՀՕ-163-Ն)</w:t>
            </w:r>
          </w:p>
        </w:tc>
      </w:tr>
      <w:tr w:rsidR="00F50C4F" w:rsidRPr="00F50C4F" w14:paraId="7C6D55A1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8AFB3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5.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6D31F8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i/>
                <w:iCs/>
                <w:color w:val="333333"/>
                <w:kern w:val="0"/>
                <w:sz w:val="22"/>
                <w:szCs w:val="22"/>
                <w14:ligatures w14:val="none"/>
              </w:rPr>
              <w:t>(կետն ուժը կորցրել է 03.05.23 ՀՕ-163-Ն)</w:t>
            </w:r>
          </w:p>
        </w:tc>
      </w:tr>
      <w:tr w:rsidR="00F50C4F" w:rsidRPr="00F50C4F" w14:paraId="7DE3B8AE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7B0EA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EDFE9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Թանկարժեք մետաղներից պատրաստված իրերի հարգորոշում և հարգադրոշմում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54D1CEE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5BBF2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C0720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14D4AF36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430DD5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A7AB9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Առևտրի իրականացման վայրի կազմակերպում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6DC18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A6287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6A589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2021F28B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5259BF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49D7E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«Արտաքին տնտեսական գործունեության ապրանքային անվանացանկ» (ԱՏԳ ԱԱ) դասակարգչի 2208 ծածկագրին դասվող օղու ներմուծում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EC280F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5C9A66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00DCC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F50C4F" w:rsidRPr="00F50C4F" w14:paraId="0356B9AF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627FD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8.1.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ACEF73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«Արտաքին տնտեսական գործունեության ապրանքային անվանացանկ» (ԱՏԳ ԱԱ) դասակարգչի 220820 ծածկագրին դասվող կոնյակի և բրենդիի և ԱՏԳ ԱԱ դասակարգչի 220820890 ծածկագրին դասվող մինչև 100 հազար լիտր (100-տոկոսանոց սպիրտի հաշվարկով) կոնյակի և բրենդիի սպիրտների՝ ԵԱՏՄ անդամ չհամարվող պետություններից «Բացթողում՝ ներքին սպառման համար», «Վերամշակում՝ մաքսային տարածքում» և «Վերամշակում՝ ներքին սպառման համար» մաքսային ընթացակարգերով ներմուծում, ինչպես նաև ԵԱՏՄ անդամ պետություններից ներմուծում, այդ թվում՝ վերամշակման նպատակով ներմուծում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EE642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484F2F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6A2D4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 </w:t>
            </w:r>
          </w:p>
        </w:tc>
      </w:tr>
      <w:tr w:rsidR="00F50C4F" w:rsidRPr="00F50C4F" w14:paraId="78F87C8E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1E225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8.2.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189DE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 xml:space="preserve">«Արտաքին տնտեսական գործունեության ապրանքային անվանացանկ» (ԱՏԳ ԱԱ) դասակարգչի 220820890 ծածկագրին դասվող կոնյակի և բրենդիի սպիրտներ ներմուծողների կողմից 100 հազար լիտրը (100-տոկոսանոց սպիրտի հաշվարկով) ներմուծվելուց հետո այլ խմբաքանակների՝ ԵԱՏՄ անդամ 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lastRenderedPageBreak/>
              <w:t>չհամարվող պետություններից «Բացթողում՝ ներքին սպառման համար», «Վերամշակում՝ մաքսային տարածքում» և «Վերամշակում՝ ներքին սպառման համար» մաքսային ընթացակարգերով ներմուծում, ինչպես նաև ԵԱՏՄ անդամ պետություններից ներմուծում, այդ թվում՝ վերամշակման նպատակով ներմուծում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6D89A6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lastRenderedPageBreak/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0464EBE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44793A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 </w:t>
            </w:r>
          </w:p>
        </w:tc>
      </w:tr>
      <w:tr w:rsidR="00F50C4F" w:rsidRPr="00F50C4F" w14:paraId="1AB2E5D1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CF3C6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4D667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Արտաքին տնտեսական գործունեության ապրանքային անվանացանկ (ԱՏԳ ԱԱ) դասակարգչի 710210000, 710221000, 710231000 ծածկագրերին դասվող բնական` մշակված կամ չմշակված, բայց չշրջանակված կամ չամրացված ալմաստների առք և վաճառք, ներմուծում, արտահանում, փոխադրում».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0614A8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75391E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1D1B7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50C4F" w:rsidRPr="00F50C4F" w14:paraId="178C8FD3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27511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10.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5E310C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i/>
                <w:iCs/>
                <w:color w:val="333333"/>
                <w:kern w:val="0"/>
                <w:sz w:val="22"/>
                <w:szCs w:val="22"/>
                <w14:ligatures w14:val="none"/>
              </w:rPr>
              <w:t>(կետն ուժը կորցրել է 03.06.19 ՀՕ-60-Ն)</w:t>
            </w:r>
          </w:p>
        </w:tc>
      </w:tr>
      <w:tr w:rsidR="00F50C4F" w:rsidRPr="00F50C4F" w14:paraId="08722E70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764BE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498906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Սահմանափակ պատասխանատվությամբ ընկերությունների կամ լրացուցիչ պատասխանատվությամբ ընկերությունների բաժնեմասերի հավատարմագրային կառավարում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1A6AF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858F8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DED3DB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50C4F" w:rsidRPr="00F50C4F" w14:paraId="1E5A2EB0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6C22CE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80017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Փոխադրումների մենեջերների մասնագիտական</w:t>
            </w:r>
          </w:p>
          <w:p w14:paraId="53C4264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վերապատրաստման ծառայության մատուցում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6FCCCDB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B4BB25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05AA1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F50C4F" w:rsidRPr="00F50C4F" w14:paraId="7AD20A50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BDC79E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9FBC4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Ընդհանուր օգտագործման ավտոմոբիլային տրանսպորտով</w:t>
            </w:r>
          </w:p>
          <w:p w14:paraId="2E0705B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միջպետական փոխադրումներ իրականացնող վարորդների</w:t>
            </w:r>
          </w:p>
          <w:p w14:paraId="5E7375E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մասնագիտական վերապատրաստման ծառայության մատուցում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7E134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5B5684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6E201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F50C4F" w:rsidRPr="00F50C4F" w14:paraId="5DD2917E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E297EB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EB122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Էլեկտրոնային հարթակով ուղևորափոխադրման ծառայության մատուցում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E2323D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232DF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A68F4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F50C4F" w:rsidRPr="00F50C4F" w14:paraId="6758F60E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2489A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EC1C7AC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5. ԱՌՈՂՋԱՊԱՀՈՒԹՅԱՆ 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16030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7DF80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9A12D6F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50C4F" w:rsidRPr="00F50C4F" w14:paraId="38197D28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E4652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0982DB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Գենետիկ ինժեներիայի գործունեություն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EDBE7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AF8EF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0CE0D0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73E69044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E3291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AC551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6. ԶԲՈՍԱՇՐՋՈՒԹՅԱՆ 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48FEE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6738C2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F952B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50C4F" w:rsidRPr="00F50C4F" w14:paraId="6DA69FDB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39687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86A003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Զբոսաշրջային օպերատորի գործունեություն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96129E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5527C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E45BE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63989499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4F86D3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F426A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Զբոսաշրջային գործակալի գործունեություն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7B413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809F9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77237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2FEC6054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89A1E6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14D91D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Հյուրանոցային ծառայությունների մատուցում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D9D80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41114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B40CC5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  <w:tr w:rsidR="00F50C4F" w:rsidRPr="00F50C4F" w14:paraId="3DBA8BFC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3842DF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6A1C0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Զբոսավարի գործունեություն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0C15F0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6680F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6DF77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F50C4F" w:rsidRPr="00F50C4F" w14:paraId="60683A31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990589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761B14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Ուղեկցորդի գործունեություն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F9C4F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0593B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FFB8FB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</w:tr>
      <w:tr w:rsidR="00F50C4F" w:rsidRPr="00F50C4F" w14:paraId="03CCF4E5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8D4ECF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D1508FB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b/>
                <w:bCs/>
                <w:color w:val="333333"/>
                <w:kern w:val="0"/>
                <w:sz w:val="22"/>
                <w:szCs w:val="22"/>
                <w14:ligatures w14:val="none"/>
              </w:rPr>
              <w:t>7. ՖԻԶԻԿԱԿԱՆ ԿՈՒԼՏՈՒՐԱՅԻ ԵՎ ՍՊՈՐՏԻ ԲՆԱԳԱՎԱՌ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065E5A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5E5C0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4FCDD9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 </w:t>
            </w:r>
          </w:p>
        </w:tc>
      </w:tr>
      <w:tr w:rsidR="00F50C4F" w:rsidRPr="00F50C4F" w14:paraId="45AE1A54" w14:textId="77777777" w:rsidTr="00143A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DBBA46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lastRenderedPageBreak/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085FB67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Ֆիթնես կենտրոնի կամ մարզասրահի գործունեություն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F0A6E71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E3BBE98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50B8305" w14:textId="77777777" w:rsidR="00F50C4F" w:rsidRPr="00F50C4F" w:rsidRDefault="00F50C4F" w:rsidP="00F50C4F">
            <w:pPr>
              <w:shd w:val="clear" w:color="auto" w:fill="FFFFFF"/>
              <w:spacing w:after="0" w:line="240" w:lineRule="auto"/>
              <w:ind w:firstLine="375"/>
              <w:rPr>
                <w:rFonts w:eastAsia="Times New Roman" w:cs="Calibri"/>
                <w:color w:val="333333"/>
                <w:kern w:val="0"/>
                <w:sz w:val="22"/>
                <w:szCs w:val="22"/>
                <w14:ligatures w14:val="none"/>
              </w:rPr>
            </w:pPr>
            <w:r w:rsidRPr="00F50C4F">
              <w:rPr>
                <w:rFonts w:ascii="Calibri" w:eastAsia="Times New Roman" w:hAnsi="Calibri" w:cs="Calibri"/>
                <w:color w:val="333333"/>
                <w:kern w:val="0"/>
                <w:sz w:val="22"/>
                <w:szCs w:val="22"/>
                <w14:ligatures w14:val="none"/>
              </w:rPr>
              <w:t> </w:t>
            </w:r>
            <w:r w:rsidRPr="00F50C4F">
              <w:rPr>
                <w:rFonts w:eastAsia="Times New Roman" w:cs="GHEA Grapalat"/>
                <w:color w:val="333333"/>
                <w:kern w:val="0"/>
                <w:sz w:val="22"/>
                <w:szCs w:val="22"/>
                <w14:ligatures w14:val="none"/>
              </w:rPr>
              <w:t>Վ</w:t>
            </w:r>
          </w:p>
        </w:tc>
      </w:tr>
    </w:tbl>
    <w:p w14:paraId="4334D53E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ascii="Calibri" w:eastAsia="Times New Roman" w:hAnsi="Calibri" w:cs="Calibri"/>
          <w:color w:val="333333"/>
          <w:kern w:val="0"/>
          <w:sz w:val="22"/>
          <w:szCs w:val="22"/>
          <w14:ligatures w14:val="none"/>
        </w:rPr>
        <w:t> </w:t>
      </w:r>
    </w:p>
    <w:p w14:paraId="5CE5855C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3. Սույն հոդվածի աղյուսակում չնշված գործունեության տեսակներով ֆիզիկական կամ իրավաբանական անձինք իրավունք ունեն զբաղվելու առանց սահմանափակման, բացառությամբ «Լիցենզավորման մասին» Հայաստանի Հանրապետության օրենքով և «Զբոսաշրջության մասին» Հայաստանի Հանրապետության օրենքով</w:t>
      </w:r>
      <w:r w:rsidRPr="00F50C4F">
        <w:rPr>
          <w:rFonts w:ascii="Calibri" w:eastAsia="Times New Roman" w:hAnsi="Calibri" w:cs="Calibri"/>
          <w:color w:val="333333"/>
          <w:kern w:val="0"/>
          <w:sz w:val="22"/>
          <w:szCs w:val="22"/>
          <w14:ligatures w14:val="none"/>
        </w:rPr>
        <w:t> </w:t>
      </w:r>
      <w:r w:rsidRPr="00F50C4F">
        <w:rPr>
          <w:rFonts w:eastAsia="Times New Roman" w:cs="GHEA Grapalat"/>
          <w:color w:val="333333"/>
          <w:kern w:val="0"/>
          <w:sz w:val="22"/>
          <w:szCs w:val="22"/>
          <w14:ligatures w14:val="none"/>
        </w:rPr>
        <w:t>սահմանված</w:t>
      </w: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r w:rsidRPr="00F50C4F">
        <w:rPr>
          <w:rFonts w:eastAsia="Times New Roman" w:cs="GHEA Grapalat"/>
          <w:color w:val="333333"/>
          <w:kern w:val="0"/>
          <w:sz w:val="22"/>
          <w:szCs w:val="22"/>
          <w14:ligatures w14:val="none"/>
        </w:rPr>
        <w:t>դեպքերի</w:t>
      </w: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, </w:t>
      </w:r>
      <w:r w:rsidRPr="00F50C4F">
        <w:rPr>
          <w:rFonts w:eastAsia="Times New Roman" w:cs="GHEA Grapalat"/>
          <w:color w:val="333333"/>
          <w:kern w:val="0"/>
          <w:sz w:val="22"/>
          <w:szCs w:val="22"/>
          <w14:ligatures w14:val="none"/>
        </w:rPr>
        <w:t>եթե</w:t>
      </w: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r w:rsidRPr="00F50C4F">
        <w:rPr>
          <w:rFonts w:eastAsia="Times New Roman" w:cs="GHEA Grapalat"/>
          <w:color w:val="333333"/>
          <w:kern w:val="0"/>
          <w:sz w:val="22"/>
          <w:szCs w:val="22"/>
          <w14:ligatures w14:val="none"/>
        </w:rPr>
        <w:t>տվյալ</w:t>
      </w: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r w:rsidRPr="00F50C4F">
        <w:rPr>
          <w:rFonts w:eastAsia="Times New Roman" w:cs="GHEA Grapalat"/>
          <w:color w:val="333333"/>
          <w:kern w:val="0"/>
          <w:sz w:val="22"/>
          <w:szCs w:val="22"/>
          <w14:ligatures w14:val="none"/>
        </w:rPr>
        <w:t>գործունեության</w:t>
      </w: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r w:rsidRPr="00F50C4F">
        <w:rPr>
          <w:rFonts w:eastAsia="Times New Roman" w:cs="GHEA Grapalat"/>
          <w:color w:val="333333"/>
          <w:kern w:val="0"/>
          <w:sz w:val="22"/>
          <w:szCs w:val="22"/>
          <w14:ligatures w14:val="none"/>
        </w:rPr>
        <w:t>տեսակով</w:t>
      </w: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r w:rsidRPr="00F50C4F">
        <w:rPr>
          <w:rFonts w:eastAsia="Times New Roman" w:cs="GHEA Grapalat"/>
          <w:color w:val="333333"/>
          <w:kern w:val="0"/>
          <w:sz w:val="22"/>
          <w:szCs w:val="22"/>
          <w14:ligatures w14:val="none"/>
        </w:rPr>
        <w:t>զբաղվելն</w:t>
      </w: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r w:rsidRPr="00F50C4F">
        <w:rPr>
          <w:rFonts w:eastAsia="Times New Roman" w:cs="GHEA Grapalat"/>
          <w:color w:val="333333"/>
          <w:kern w:val="0"/>
          <w:sz w:val="22"/>
          <w:szCs w:val="22"/>
          <w14:ligatures w14:val="none"/>
        </w:rPr>
        <w:t>օրենքով</w:t>
      </w: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r w:rsidRPr="00F50C4F">
        <w:rPr>
          <w:rFonts w:eastAsia="Times New Roman" w:cs="GHEA Grapalat"/>
          <w:color w:val="333333"/>
          <w:kern w:val="0"/>
          <w:sz w:val="22"/>
          <w:szCs w:val="22"/>
          <w14:ligatures w14:val="none"/>
        </w:rPr>
        <w:t>արգելված</w:t>
      </w: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 xml:space="preserve"> </w:t>
      </w:r>
      <w:r w:rsidRPr="00F50C4F">
        <w:rPr>
          <w:rFonts w:eastAsia="Times New Roman" w:cs="GHEA Grapalat"/>
          <w:color w:val="333333"/>
          <w:kern w:val="0"/>
          <w:sz w:val="22"/>
          <w:szCs w:val="22"/>
          <w14:ligatures w14:val="none"/>
        </w:rPr>
        <w:t>չէ</w:t>
      </w: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:</w:t>
      </w:r>
    </w:p>
    <w:p w14:paraId="6C3A1274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3.1. Եթե իրավաբանական կամ ֆիզիկական անձինք կամ անհատ ձեռնարկատերերը միաժամանակ իրականացնում են սույն հոդվածի աղյուսակի «4. ԳՈՐԾՈՒՆԵՈՒԹՅԱՆ ԱՅԼ ԲՆԱԳԱՎԱՌՆԵՐ» բաժնի 1-ին և 1.1-ին կամ 8-րդ և 8.1-ին կետերում նշված գործունեության տեսակները, ապա այդ գործունեության տեսակները ծանուցման մեջ նշում են առանձին, կամ ներկայացնում են լրացուցիչ ծանուցում` 1-ին կամ 1.1-ին կամ 8-րդ կամ 8.1-ին կետի գործունեության տեսակի իրականացման մասին։</w:t>
      </w:r>
    </w:p>
    <w:p w14:paraId="0AE2EBE6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3.2. Իրավաբանական կամ ֆիզիկական անձը կամ անհատ ձեռնարկատերը չի կարող միաժամանակ ծանուցել սույն հոդվածի աղյուսակի «4. ԳՈՐԾՈՒՆԵՈՒԹՅԱՆ ԱՅԼ ԲՆԱԳԱՎԱՌՆԵՐ» բաժնի 1.1-ին և 1.3-րդ կետերով նախատեսված գործունեության տեսակների իրականացման մասին:</w:t>
      </w:r>
    </w:p>
    <w:p w14:paraId="3E807E7E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4. Սույն հոդվածի աղյուսակի «4. ԳՈՐԾՈՒՆԵՈՒԹՅԱՆ ԱՅԼ ԲՆԱԳԱՎԱՌՆԵՐ» բաժնի 9-րդ կետում նշված գործունեության տեսակն իրականացնող անձանց կողմից Քիմբերլի գործընթացի հավաստագրման սխեմայով նախատեսված և լիազոր մարմնի հրամանով սահմանված պահանջները խախտելու դեպքում նշված անձանց համար կիրառվում են առանց ծանուցման` ծանուցման ենթակա գործունեության իրականացման համար օրենքով նախատեսված պատասխանատվության միջոցներին համապատասխան սահմանված գումարի 10 տոկոսի չափով պատասխանատվության միջոցներ:</w:t>
      </w:r>
    </w:p>
    <w:p w14:paraId="62817A7E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5. Սույն հոդվածի աղյուսակի երրորդ սյունակում հապավումներով սահմանվում են լիազոր մարմինները: Աղյուսակի հապավումները վերծանվում են հետևյալ կերպ.</w:t>
      </w:r>
    </w:p>
    <w:p w14:paraId="1C4521FF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ԿՄ - Հայաստանի Հանրապետության կառավարության լիազորած պետական կառավարման մարմին կամ մարմիններ.</w:t>
      </w:r>
    </w:p>
    <w:p w14:paraId="2335EE88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ՀԾԿՀ - Հայաստանի Հանրապետության հանրային ծառայությունները կարգավորող հանձնաժողով:</w:t>
      </w:r>
    </w:p>
    <w:p w14:paraId="670CA867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6. Սույն հոդվածի աղյուսակի չորրորդ սյունակում «Ա» տառով նշված գործունեության տեսակներով զբաղվելու համար չի պահանջվում ծանուցում, եթե դրանք իրականացվում են ոչ ձեռնարկատիրական (տնտեսական) գործունեության նպատակով:</w:t>
      </w:r>
    </w:p>
    <w:p w14:paraId="6BA55ED1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7. Միայն սույն հոդվածի աղյուսակի հինգերորդ սյունակում «Վ» տառով նշված գործունեության տեսակներով զբաղվող ծանուցման ենթակա գործունեություն իրականացնող անձինք են պարտավոր ծանուցման ենթակա գործունեությունն իրականացնել միայն ծանուցման մեջ նշված վայրում:</w:t>
      </w:r>
    </w:p>
    <w:p w14:paraId="42336B3E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color w:val="333333"/>
          <w:kern w:val="0"/>
          <w:sz w:val="22"/>
          <w:szCs w:val="22"/>
          <w14:ligatures w14:val="none"/>
        </w:rPr>
        <w:t>8. Ծանուցման ենթակա գործունեության տեսակների պարզաբանումները տրվում են Հայաստանի Հանրապետության համապատասխան օրենքների և «Տնտեսական գործունեության ընդհանուր դասակարգիչների» համաձայն:</w:t>
      </w:r>
    </w:p>
    <w:p w14:paraId="49A5F1FB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(22-րդ հոդվածը խմբ., լրաց. 19.02.16 ՀՕ-29-Ն, լրաց. 25.10.17 ՀՕ-158-Ն, 27.10.17 ՀՕ-170-Ն, 17.11.17 ՀՕ-211-Ն, փոփ. 21.12.17 ՀՕ-273-Ն, լրաց., փոփ. 13.06.18 ՀՕ-358-Ն, 03.06.19 ՀՕ-60-Ն, խմբ. 27.10.20 ՀՕ-477-Ն, լրաց., փոփ. 16.09.20 ՀՕ-418-Ն, լրաց. 07.12.22 ՀՕ-544-Ն, փոփ., խմբ., լրաց. 03.05.23 ՀՕ-163-Ն, լրաց. 07.07.22 ՀՕ-319-Ն, փոփ. 13.07.23 ՀՕ-257-Ն, լրաց. 25.10.23 ՀՕ-346-Ն, 08.12.23 ՀՕ-394-Ն, 22.12.23 ՀՕ-6-Ն, 22.05.24 ՀՕ-233-Ն, 15.11.24 ՀՕ-461-Ն,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22.01.25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ՀՕ-16-Ն)</w:t>
      </w:r>
    </w:p>
    <w:p w14:paraId="7E40F675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(16.09.20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 </w:t>
      </w:r>
      <w:hyperlink r:id="rId5" w:tgtFrame="_blank" w:history="1">
        <w:r w:rsidRPr="00F50C4F">
          <w:rPr>
            <w:rStyle w:val="Hyperlink"/>
            <w:rFonts w:eastAsia="Times New Roman" w:cs="Calibri"/>
            <w:b/>
            <w:bCs/>
            <w:i/>
            <w:iCs/>
            <w:kern w:val="0"/>
            <w:sz w:val="22"/>
            <w:szCs w:val="22"/>
            <w14:ligatures w14:val="none"/>
          </w:rPr>
          <w:t>ՀՕ-418-Ն</w:t>
        </w:r>
      </w:hyperlink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օրենքն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ունի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անցումային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դրույթ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)</w:t>
      </w:r>
    </w:p>
    <w:p w14:paraId="1D3BE343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(03.05.23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 </w:t>
      </w:r>
      <w:hyperlink r:id="rId6" w:tgtFrame="_blank" w:history="1">
        <w:r w:rsidRPr="00F50C4F">
          <w:rPr>
            <w:rStyle w:val="Hyperlink"/>
            <w:rFonts w:eastAsia="Times New Roman" w:cs="Calibri"/>
            <w:b/>
            <w:bCs/>
            <w:i/>
            <w:iCs/>
            <w:kern w:val="0"/>
            <w:sz w:val="22"/>
            <w:szCs w:val="22"/>
            <w14:ligatures w14:val="none"/>
          </w:rPr>
          <w:t>ՀՕ-163-Ն</w:t>
        </w:r>
      </w:hyperlink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օրենքն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ունի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 </w:t>
      </w:r>
      <w:r w:rsidRPr="00F50C4F">
        <w:rPr>
          <w:rFonts w:eastAsia="Times New Roman" w:cs="GHEA Grapalat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ե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զրափակիչ մաս և անցումային դրույթներ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)</w:t>
      </w:r>
    </w:p>
    <w:p w14:paraId="1D8A4574" w14:textId="77777777" w:rsidR="00F50C4F" w:rsidRPr="00F50C4F" w:rsidRDefault="00F50C4F" w:rsidP="00F50C4F">
      <w:pPr>
        <w:shd w:val="clear" w:color="auto" w:fill="FFFFFF"/>
        <w:spacing w:after="0" w:line="240" w:lineRule="auto"/>
        <w:ind w:firstLine="375"/>
        <w:rPr>
          <w:rFonts w:eastAsia="Times New Roman" w:cs="Calibri"/>
          <w:color w:val="333333"/>
          <w:kern w:val="0"/>
          <w:sz w:val="22"/>
          <w:szCs w:val="22"/>
          <w14:ligatures w14:val="none"/>
        </w:rPr>
      </w:pP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(13.07.23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 </w:t>
      </w:r>
      <w:hyperlink r:id="rId7" w:tgtFrame="_blank" w:history="1">
        <w:r w:rsidRPr="00F50C4F">
          <w:rPr>
            <w:rStyle w:val="Hyperlink"/>
            <w:rFonts w:eastAsia="Times New Roman" w:cs="Calibri"/>
            <w:b/>
            <w:bCs/>
            <w:i/>
            <w:iCs/>
            <w:kern w:val="0"/>
            <w:sz w:val="22"/>
            <w:szCs w:val="22"/>
            <w14:ligatures w14:val="none"/>
          </w:rPr>
          <w:t>ՀՕ-257-Ն</w:t>
        </w:r>
      </w:hyperlink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օրենքն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ունի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անցումային</w:t>
      </w:r>
      <w:r w:rsidRPr="00F50C4F">
        <w:rPr>
          <w:rFonts w:ascii="Calibri" w:eastAsia="Times New Roman" w:hAnsi="Calibri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 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:lang w:val="hy-AM"/>
          <w14:ligatures w14:val="none"/>
        </w:rPr>
        <w:t>դրույթ</w:t>
      </w:r>
      <w:r w:rsidRPr="00F50C4F">
        <w:rPr>
          <w:rFonts w:eastAsia="Times New Roman" w:cs="Calibri"/>
          <w:b/>
          <w:bCs/>
          <w:i/>
          <w:iCs/>
          <w:color w:val="333333"/>
          <w:kern w:val="0"/>
          <w:sz w:val="22"/>
          <w:szCs w:val="22"/>
          <w14:ligatures w14:val="none"/>
        </w:rPr>
        <w:t>)</w:t>
      </w:r>
    </w:p>
    <w:p w14:paraId="18C8A514" w14:textId="741CAF3E" w:rsidR="00881BB4" w:rsidRPr="00F50C4F" w:rsidRDefault="00881BB4" w:rsidP="00881BB4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:sz w:val="22"/>
          <w:szCs w:val="22"/>
          <w14:ligatures w14:val="none"/>
        </w:rPr>
      </w:pPr>
    </w:p>
    <w:sectPr w:rsidR="00881BB4" w:rsidRPr="00F50C4F" w:rsidSect="00881BB4">
      <w:pgSz w:w="12240" w:h="15840"/>
      <w:pgMar w:top="568" w:right="616" w:bottom="568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420414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545"/>
    <w:rsid w:val="00032C8E"/>
    <w:rsid w:val="00143ABD"/>
    <w:rsid w:val="001A6FFC"/>
    <w:rsid w:val="006B2369"/>
    <w:rsid w:val="006F47D5"/>
    <w:rsid w:val="0073018A"/>
    <w:rsid w:val="007730D8"/>
    <w:rsid w:val="00802F9D"/>
    <w:rsid w:val="00824545"/>
    <w:rsid w:val="00881BB4"/>
    <w:rsid w:val="009148A5"/>
    <w:rsid w:val="0097276A"/>
    <w:rsid w:val="00977145"/>
    <w:rsid w:val="00A32616"/>
    <w:rsid w:val="00A45E3B"/>
    <w:rsid w:val="00A90A1D"/>
    <w:rsid w:val="00AE17FA"/>
    <w:rsid w:val="00B828D6"/>
    <w:rsid w:val="00BC5E9D"/>
    <w:rsid w:val="00BD5D68"/>
    <w:rsid w:val="00C9450C"/>
    <w:rsid w:val="00CE5D4A"/>
    <w:rsid w:val="00D64BC3"/>
    <w:rsid w:val="00DC4511"/>
    <w:rsid w:val="00E1451A"/>
    <w:rsid w:val="00E5771A"/>
    <w:rsid w:val="00E86D55"/>
    <w:rsid w:val="00EB4B14"/>
    <w:rsid w:val="00EC464F"/>
    <w:rsid w:val="00EE4880"/>
    <w:rsid w:val="00F5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84D46"/>
  <w15:chartTrackingRefBased/>
  <w15:docId w15:val="{F2CF9558-10CF-40CB-A009-6A7D6C48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  <w:ind w:firstLine="44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5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5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54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54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54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54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54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54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54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">
    <w:name w:val="Պարբերություն"/>
    <w:uiPriority w:val="99"/>
    <w:rsid w:val="00E1451A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8245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5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54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54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54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54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54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54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54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5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545"/>
    <w:pPr>
      <w:numPr>
        <w:ilvl w:val="1"/>
      </w:numPr>
      <w:ind w:firstLine="446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54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5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5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5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5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5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5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54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D5D68"/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F50C4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lis.am/hy/acts/181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lis.am/hy/acts/178453" TargetMode="External"/><Relationship Id="rId5" Type="http://schemas.openxmlformats.org/officeDocument/2006/relationships/hyperlink" Target="https://www.arlis.am/hy/acts/14626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1367</Words>
  <Characters>7792</Characters>
  <Application>Microsoft Office Word</Application>
  <DocSecurity>0</DocSecurity>
  <Lines>64</Lines>
  <Paragraphs>18</Paragraphs>
  <ScaleCrop>false</ScaleCrop>
  <Company/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Babayan</dc:creator>
  <cp:keywords/>
  <dc:description/>
  <cp:lastModifiedBy>Ashot Tantushyan</cp:lastModifiedBy>
  <cp:revision>23</cp:revision>
  <dcterms:created xsi:type="dcterms:W3CDTF">2025-04-10T13:45:00Z</dcterms:created>
  <dcterms:modified xsi:type="dcterms:W3CDTF">2026-04-14T12:36:00Z</dcterms:modified>
</cp:coreProperties>
</file>